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3" w:rsidRDefault="00101C83">
      <w:pPr>
        <w:pStyle w:val="ConsPlusNormal"/>
        <w:jc w:val="both"/>
        <w:outlineLvl w:val="0"/>
      </w:pPr>
    </w:p>
    <w:p w:rsidR="00101C83" w:rsidRDefault="00A457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1C83" w:rsidRDefault="00101C83">
      <w:pPr>
        <w:pStyle w:val="ConsPlusTitle"/>
        <w:jc w:val="center"/>
      </w:pPr>
    </w:p>
    <w:p w:rsidR="00101C83" w:rsidRDefault="00A45751">
      <w:pPr>
        <w:pStyle w:val="ConsPlusTitle"/>
        <w:jc w:val="center"/>
      </w:pPr>
      <w:r>
        <w:t>ПОСТАНОВЛЕНИЕ</w:t>
      </w:r>
    </w:p>
    <w:p w:rsidR="00101C83" w:rsidRDefault="00A45751">
      <w:pPr>
        <w:pStyle w:val="ConsPlusTitle"/>
        <w:jc w:val="center"/>
      </w:pPr>
      <w:r>
        <w:t>от 12 октября 2004 г. N 539</w:t>
      </w:r>
    </w:p>
    <w:p w:rsidR="00101C83" w:rsidRDefault="00101C83">
      <w:pPr>
        <w:pStyle w:val="ConsPlusTitle"/>
        <w:jc w:val="center"/>
      </w:pPr>
    </w:p>
    <w:p w:rsidR="00101C83" w:rsidRDefault="00A45751">
      <w:pPr>
        <w:pStyle w:val="ConsPlusTitle"/>
        <w:jc w:val="center"/>
      </w:pPr>
      <w:r>
        <w:t xml:space="preserve">О ПОРЯДКЕ РЕГИСТРАЦИИ </w:t>
      </w:r>
      <w:proofErr w:type="gramStart"/>
      <w:r>
        <w:t>РАДИОЭЛЕКТРОННЫХ</w:t>
      </w:r>
      <w:proofErr w:type="gramEnd"/>
    </w:p>
    <w:p w:rsidR="00101C83" w:rsidRDefault="00A45751">
      <w:pPr>
        <w:pStyle w:val="ConsPlusTitle"/>
        <w:jc w:val="center"/>
      </w:pPr>
      <w:r>
        <w:t>СРЕДСТВ И ВЫСОКОЧАСТОТНЫХ УСТРОЙСТВ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25.07.2007 N 476,</w:t>
            </w:r>
            <w:proofErr w:type="gramEnd"/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13.10.2008 N 761, от 17.03.2010 N 160,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13.10.2011 N 837, от 22.12.2011 N 1100,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237, от 15.08.2014 N 816,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27.11.2014 N 1252, от 26.12.2015 N 1447,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09.07.2016 N 646, от 01.11.2016 N 1118,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10.07.2017 N 816, от 14.12.2017 N 1547)</w:t>
            </w:r>
          </w:p>
        </w:tc>
      </w:tr>
    </w:tbl>
    <w:p w:rsidR="00101C83" w:rsidRDefault="00101C83">
      <w:pPr>
        <w:pStyle w:val="ConsPlusNormal"/>
        <w:jc w:val="center"/>
      </w:pPr>
    </w:p>
    <w:p w:rsidR="00101C83" w:rsidRDefault="00A45751">
      <w:pPr>
        <w:pStyle w:val="ConsPlusNormal"/>
        <w:ind w:firstLine="540"/>
        <w:jc w:val="both"/>
      </w:pPr>
      <w:r>
        <w:t>В соответствии со статьей 22 Федерального закона "О связи" Правительство Российской Федерации постановляет: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101C83" w:rsidRDefault="00101C83">
      <w:pPr>
        <w:pStyle w:val="ConsPlusNormal"/>
        <w:spacing w:before="240"/>
        <w:ind w:firstLine="540"/>
        <w:jc w:val="both"/>
      </w:pPr>
      <w:hyperlink w:anchor="Par45" w:tooltip="ПРАВИЛА" w:history="1">
        <w:r w:rsidR="00A45751">
          <w:rPr>
            <w:color w:val="0000FF"/>
          </w:rPr>
          <w:t>Правила</w:t>
        </w:r>
      </w:hyperlink>
      <w:r w:rsidR="00A45751">
        <w:t xml:space="preserve"> регистрации радиоэлектронных средств и высокочастотных устройств;</w:t>
      </w:r>
    </w:p>
    <w:p w:rsidR="00101C83" w:rsidRDefault="00101C83">
      <w:pPr>
        <w:pStyle w:val="ConsPlusNormal"/>
        <w:spacing w:before="240"/>
        <w:ind w:firstLine="540"/>
        <w:jc w:val="both"/>
      </w:pPr>
      <w:hyperlink w:anchor="Par170" w:tooltip="ПЕРЕЧЕНЬ" w:history="1">
        <w:r w:rsidR="00A45751">
          <w:rPr>
            <w:color w:val="0000FF"/>
          </w:rPr>
          <w:t>перечень</w:t>
        </w:r>
      </w:hyperlink>
      <w:r w:rsidR="00A45751">
        <w:t xml:space="preserve"> радиоэлектронных средств и высокочастотных устройств, подлежащих регистрации.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</w:t>
      </w:r>
      <w:proofErr w:type="gramStart"/>
      <w:r>
        <w:t>в</w:t>
      </w:r>
      <w:proofErr w:type="gramEnd"/>
      <w:r>
        <w:t xml:space="preserve"> Федеральной службе безопасности Российской Федерац</w:t>
      </w:r>
      <w:proofErr w:type="gramStart"/>
      <w:r>
        <w:t>ии и ее</w:t>
      </w:r>
      <w:proofErr w:type="gramEnd"/>
      <w:r>
        <w:t xml:space="preserve"> территориальных органах.</w:t>
      </w:r>
    </w:p>
    <w:p w:rsidR="00101C83" w:rsidRDefault="00A45751">
      <w:pPr>
        <w:pStyle w:val="ConsPlusNormal"/>
        <w:jc w:val="both"/>
      </w:pPr>
      <w:r>
        <w:t>(в ред. Постановлений Правительства РФ от 01.11.2016 N 1118, от 10.07.2017 N 816)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пункт 5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lastRenderedPageBreak/>
        <w:t>пункт "г"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gramStart"/>
      <w:r>
        <w:t>пункт 2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пункт 5 Постановления Правительства Российской</w:t>
      </w:r>
      <w:proofErr w:type="gramEnd"/>
      <w:r>
        <w:t xml:space="preserve">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gramStart"/>
      <w:r>
        <w:t>подпункт "г" пункта 4 Положения о государственной радиочастотной службе при Министерстве Российской Федерации по связи и информатизации и подпункт "б"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</w:t>
      </w:r>
      <w:proofErr w:type="gramEnd"/>
      <w:r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gramStart"/>
      <w:r>
        <w:t>абзац третий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Normal"/>
        <w:jc w:val="right"/>
      </w:pPr>
      <w:r>
        <w:t>Председатель Правительства</w:t>
      </w:r>
    </w:p>
    <w:p w:rsidR="00101C83" w:rsidRDefault="00A45751">
      <w:pPr>
        <w:pStyle w:val="ConsPlusNormal"/>
        <w:jc w:val="right"/>
      </w:pPr>
      <w:r>
        <w:t>Российской Федерации</w:t>
      </w:r>
    </w:p>
    <w:p w:rsidR="00101C83" w:rsidRDefault="00A45751">
      <w:pPr>
        <w:pStyle w:val="ConsPlusNormal"/>
        <w:jc w:val="right"/>
      </w:pPr>
      <w:r>
        <w:t>М.ФРАДКОВ</w:t>
      </w: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Normal"/>
        <w:jc w:val="right"/>
        <w:outlineLvl w:val="0"/>
      </w:pPr>
      <w:r>
        <w:t>Утверждены</w:t>
      </w:r>
    </w:p>
    <w:p w:rsidR="00101C83" w:rsidRDefault="00A45751">
      <w:pPr>
        <w:pStyle w:val="ConsPlusNormal"/>
        <w:jc w:val="right"/>
      </w:pPr>
      <w:r>
        <w:t>Постановлением Правительства</w:t>
      </w:r>
    </w:p>
    <w:p w:rsidR="00101C83" w:rsidRDefault="00A45751">
      <w:pPr>
        <w:pStyle w:val="ConsPlusNormal"/>
        <w:jc w:val="right"/>
      </w:pPr>
      <w:r>
        <w:t>Российской Федерации</w:t>
      </w:r>
    </w:p>
    <w:p w:rsidR="00101C83" w:rsidRDefault="00A45751">
      <w:pPr>
        <w:pStyle w:val="ConsPlusNormal"/>
        <w:jc w:val="right"/>
      </w:pPr>
      <w:r>
        <w:t>от 12 октября 2004 г. N 539</w:t>
      </w:r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Title"/>
        <w:jc w:val="center"/>
      </w:pPr>
      <w:bookmarkStart w:id="0" w:name="Par45"/>
      <w:bookmarkEnd w:id="0"/>
      <w:r>
        <w:t>ПРАВИЛА</w:t>
      </w:r>
    </w:p>
    <w:p w:rsidR="00101C83" w:rsidRDefault="00A45751">
      <w:pPr>
        <w:pStyle w:val="ConsPlusTitle"/>
        <w:jc w:val="center"/>
      </w:pPr>
      <w:r>
        <w:t>РЕГИСТРАЦИИ РАДИОЭЛЕКТРОННЫХ СРЕДСТВ</w:t>
      </w:r>
    </w:p>
    <w:p w:rsidR="00101C83" w:rsidRDefault="00A45751">
      <w:pPr>
        <w:pStyle w:val="ConsPlusTitle"/>
        <w:jc w:val="center"/>
      </w:pPr>
      <w:r>
        <w:t>И ВЫСОКОЧАСТОТНЫХ УСТРОЙСТВ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25.07.2007 N 476,</w:t>
            </w:r>
            <w:proofErr w:type="gramEnd"/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13.10.2008 N 761, от 17.03.2010 N 160,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13.10.2011 N 837, от 22.12.2011 N 1100,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237, от 15.08.2014 N 816,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27.11.2014 N 1252, от 26.12.2015 N 1447,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09.07.2016 N 646, от 01.11.2016 N 1118,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14.12.2017 N 1547)</w:t>
            </w:r>
          </w:p>
        </w:tc>
      </w:tr>
    </w:tbl>
    <w:p w:rsidR="00101C83" w:rsidRDefault="00101C83">
      <w:pPr>
        <w:pStyle w:val="ConsPlusNormal"/>
        <w:jc w:val="center"/>
      </w:pPr>
    </w:p>
    <w:p w:rsidR="00101C83" w:rsidRDefault="00A45751">
      <w:pPr>
        <w:pStyle w:val="ConsPlusNormal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>
        <w:t>ств гр</w:t>
      </w:r>
      <w:proofErr w:type="gramEnd"/>
      <w:r>
        <w:t>ажданского назначения, используемых на территории Российской Федерации и территориях, находящихся под юрисдикцией Российской Федерации.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27.11.2014 N 1252)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РФ от 27.11.2014 N 1252)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2018 года Постановлением Правительства РФ от 14.12.2017 N 1547 пункт 3 излагается в новой редакции.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 средств и высокочастотных устройств.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Регистрации подлежат радиоэлектронные средства и высокочастотные устройства, предусмотренные </w:t>
      </w:r>
      <w:hyperlink w:anchor="Par170" w:tooltip="ПЕРЕЧЕНЬ" w:history="1">
        <w:r>
          <w:rPr>
            <w:color w:val="0000FF"/>
          </w:rPr>
          <w:t>перечнем,</w:t>
        </w:r>
      </w:hyperlink>
      <w: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  <w:proofErr w:type="gramEnd"/>
    </w:p>
    <w:p w:rsidR="00101C83" w:rsidRDefault="00A45751">
      <w:pPr>
        <w:pStyle w:val="ConsPlusNormal"/>
        <w:jc w:val="both"/>
      </w:pPr>
      <w:r>
        <w:t>(в ред. Постановления Правительства РФ от 09.07.2016 N 646)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gramStart"/>
      <w: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ar281" w:tooltip="ИЗЪЯТИЯ ИЗ ПЕРЕЧНЯ" w:history="1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</w:t>
      </w:r>
      <w:proofErr w:type="gramEnd"/>
      <w:r>
        <w:t xml:space="preserve"> октября 2004 г. N 539.</w:t>
      </w:r>
    </w:p>
    <w:p w:rsidR="00101C83" w:rsidRDefault="00A45751">
      <w:pPr>
        <w:pStyle w:val="ConsPlusNormal"/>
        <w:jc w:val="both"/>
      </w:pPr>
      <w:r>
        <w:t>(абзац введен Постановлением Правительства РФ от 19.03.2013 N 237)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proofErr w:type="gramStart"/>
      <w: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</w:t>
      </w:r>
      <w:proofErr w:type="gramEnd"/>
      <w:r>
        <w:t xml:space="preserve">, </w:t>
      </w:r>
      <w:proofErr w:type="gramStart"/>
      <w:r>
        <w:t>судах</w:t>
      </w:r>
      <w:proofErr w:type="gramEnd"/>
      <w:r>
        <w:t xml:space="preserve"> смешанного (река - море) плавания, и бортовых радиостанций, используемых на воздушных судах.</w:t>
      </w:r>
    </w:p>
    <w:p w:rsidR="00101C83" w:rsidRDefault="00A45751">
      <w:pPr>
        <w:pStyle w:val="ConsPlusNormal"/>
        <w:jc w:val="both"/>
      </w:pPr>
      <w:r>
        <w:t>(в ред. Постановлений Правительства РФ от 17.03.2010 N 160, от 01.11.2016 N 1118)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6. Министерство связи и массовых коммуникаций Российской Федерации устанавливает:</w:t>
      </w:r>
    </w:p>
    <w:p w:rsidR="00101C83" w:rsidRDefault="00A45751">
      <w:pPr>
        <w:pStyle w:val="ConsPlusNormal"/>
        <w:jc w:val="both"/>
      </w:pPr>
      <w:r>
        <w:t>(в ред. Постановления Правительства РФ от 13.10.2008 N 761)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2018 года Постановлением Правительства РФ от 14.12.2017 N 1547 подпункт "б" пункта 6 излагается в новой редакции.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r>
        <w:t>б)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 средств и высокочастотных устройств;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в) формы свидетельств об образовании позывных сигналов.</w:t>
      </w:r>
    </w:p>
    <w:p w:rsidR="00101C83" w:rsidRDefault="00A45751">
      <w:pPr>
        <w:pStyle w:val="ConsPlusNormal"/>
        <w:jc w:val="both"/>
      </w:pPr>
      <w:r>
        <w:t>(в ред. Постановлений Правительства РФ от 25.07.2007 N 476, от 13.10.2011 N 837)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2018 года Постановлением Правительства РФ от 14.12.2017 N 1547 пункт 7 излагается в новой редакции.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r>
        <w:t xml:space="preserve">7. </w:t>
      </w:r>
      <w:proofErr w:type="gramStart"/>
      <w:r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</w:t>
      </w:r>
      <w:proofErr w:type="gramEnd"/>
      <w:r>
        <w:t>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Заявление о регистрации абонентской земной станции спутниковой связи, работающей через </w:t>
      </w:r>
      <w:r>
        <w:lastRenderedPageBreak/>
        <w:t>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101C83" w:rsidRDefault="00A45751">
      <w:pPr>
        <w:pStyle w:val="ConsPlusNormal"/>
        <w:jc w:val="both"/>
      </w:pPr>
      <w:r>
        <w:t>(п. 7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7(1). </w:t>
      </w:r>
      <w:proofErr w:type="gramStart"/>
      <w:r>
        <w:t>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</w:t>
      </w:r>
      <w:proofErr w:type="gramEnd"/>
      <w:r>
        <w:t xml:space="preserve"> государственных и муниципальных услуг".</w:t>
      </w:r>
    </w:p>
    <w:p w:rsidR="00101C83" w:rsidRDefault="00A45751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Постановлением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>
        <w:t>которого</w:t>
      </w:r>
      <w:proofErr w:type="gramEnd"/>
      <w:r>
        <w:t xml:space="preserve"> планируется использование радиоэлектронных средств и высокочастотных устройств, с указанием: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г) типа, наименования и номера регистрируемого радиоэлектронного средства и высокочастотного устройства;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Постановлением Правительства РФ от 22.12.2011 N 1100, в ред. Постановления Правительства РФ от 27.11.2014 N 1252)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Постановлением Правительства РФ от 22.12.2011 N 1100)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Постановлением Правительства РФ от 14.12.2017 N 1547)</w:t>
      </w:r>
    </w:p>
    <w:p w:rsidR="00101C83" w:rsidRDefault="00A45751">
      <w:pPr>
        <w:pStyle w:val="ConsPlusNormal"/>
        <w:jc w:val="both"/>
      </w:pPr>
      <w:r>
        <w:t>(п. 8 в ред. Постановления Правительства РФ от 13.10.2011 N 837)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В случае если в соответствии с решением о выделении полосы радиочастот и (или) </w:t>
      </w:r>
      <w:r>
        <w:lastRenderedPageBreak/>
        <w:t>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9 в ред. Постановления Правительства РФ от 27.11.2014 N 1252)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10. К заявлению прилагаются: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а) утратил силу. - Постановление Правительства РФ от 22.12.2011 N 1100;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б) утратил силу. - Постановление Правительства РФ от 13.10.2011 N 837;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в) утратил силу. - Постановление Правительства РФ от 22.12.2011 N 1100;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" w:name="Par106"/>
      <w:bookmarkEnd w:id="1"/>
      <w: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Постановления Правительства РФ от 25.07.2007 N 476)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" w:name="Par108"/>
      <w:bookmarkEnd w:id="2"/>
      <w:proofErr w:type="spellStart"/>
      <w:r>
        <w:t>д</w:t>
      </w:r>
      <w:proofErr w:type="spellEnd"/>
      <w:r>
        <w:t>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Постановлением Правительства РФ от 13.10.2011 N 837)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" w:name="Par110"/>
      <w:bookmarkEnd w:id="3"/>
      <w: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Постановлением Правительства РФ от 27.11.2014 N 1252)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Постановлением Правительства РФ от 26.12.2015 N 1447)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2018 года Постановлением Правительства РФ от 14.12.2017 N 1547 в подпункт "</w:t>
            </w:r>
            <w:proofErr w:type="spellStart"/>
            <w:r>
              <w:rPr>
                <w:color w:val="392C69"/>
              </w:rPr>
              <w:t>з</w:t>
            </w:r>
            <w:proofErr w:type="spellEnd"/>
            <w:r>
              <w:rPr>
                <w:color w:val="392C69"/>
              </w:rPr>
              <w:t>" пункта 10 вносятся изменения.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bookmarkStart w:id="4" w:name="Par116"/>
      <w:bookmarkEnd w:id="4"/>
      <w:proofErr w:type="spellStart"/>
      <w:proofErr w:type="gramStart"/>
      <w:r>
        <w:t>з</w:t>
      </w:r>
      <w:proofErr w:type="spellEnd"/>
      <w:r>
        <w:t xml:space="preserve">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</w:t>
      </w:r>
      <w:proofErr w:type="spellStart"/>
      <w:r>
        <w:t>Ku</w:t>
      </w:r>
      <w:proofErr w:type="spellEnd"/>
      <w:r>
        <w:t>- и (или) Ka-диапазоне.</w:t>
      </w:r>
      <w:proofErr w:type="gramEnd"/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Постановлением Правительства РФ от 26.12.2015 N 1447;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10(1). </w:t>
      </w:r>
      <w:proofErr w:type="gramStart"/>
      <w:r>
        <w:t xml:space="preserve">Документы и информация, которые необходимы для принятия решения о регистрации </w:t>
      </w:r>
      <w:r>
        <w:lastRenderedPageBreak/>
        <w:t>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101C83" w:rsidRDefault="00A45751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Постановлением Правительства РФ от 22.12.2011 N 1100)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2018 года Постановлением Правительства РФ от 14.12.2017 N 1547 пункт 11 излагается в новой редакции.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r>
        <w:t>11.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В случае подачи заявления о регистрации радиоэлектронных средств и высокочастотных устрой</w:t>
      </w:r>
      <w:proofErr w:type="gramStart"/>
      <w:r>
        <w:t>ств сп</w:t>
      </w:r>
      <w:proofErr w:type="gramEnd"/>
      <w:r>
        <w:t>особом, отличным от подачи в электронной форме, территориальный орган Федеральной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зарегистрированных радиоэлектронных средствах и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направляет заявителю выписку из реестра зарегистрированных радиоэлектронных средств и высокочастотных устрой</w:t>
      </w:r>
      <w:proofErr w:type="gramStart"/>
      <w:r>
        <w:t>ств в сл</w:t>
      </w:r>
      <w:proofErr w:type="gramEnd"/>
      <w:r>
        <w:t>учае, если в заявлении указана необходимость такого направления, или мотивированное уведомление об отказе в регистрации радиоэлектронных средств и (или) высокочастотных устройств.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осуществляется в автоматическом режиме.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направляются заявителю в электронной форме в срок не более одного рабочего дня со дня подачи заявления.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11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11(1). Утратил силу с 1 сентября 2018 года. - Постановление Правительства РФ от 14.12.2017 N 1547.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12. Основанием для отказа в регистрации радиоэлектронных средств и высокочастотных устройств является: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а) несоответствие представляемых документов требованиям, установленным настоящими Правилами;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lastRenderedPageBreak/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>
        <w:t>ств тр</w:t>
      </w:r>
      <w:proofErr w:type="gramEnd"/>
      <w:r>
        <w:t>ебованиям, установленным в разрешении на использование радиочастот или радиочастотных каналов;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Постановления Правительства РФ от 13.10.2011 N 837)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101C83" w:rsidRDefault="00A457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Постановлением Правительства РФ от 13.10.2011 N 837)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2018 года Постановлением Правительства РФ от 14.12.2017 N 1547 пункты 13 - 15 излагаются в новой редакции.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r>
        <w:t xml:space="preserve">13. </w:t>
      </w:r>
      <w:proofErr w:type="gramStart"/>
      <w:r>
        <w:t>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радиоэлектронных средств и (или) высокочастотных устройств.</w:t>
      </w:r>
      <w:proofErr w:type="gramEnd"/>
    </w:p>
    <w:p w:rsidR="00101C83" w:rsidRDefault="00A45751">
      <w:pPr>
        <w:pStyle w:val="ConsPlusNormal"/>
        <w:jc w:val="both"/>
      </w:pPr>
      <w:r>
        <w:t>(п. 13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14. При совместном использовании радиоэлектронного средства выписка из реестра зарегистрированных радиоэлектронных средств и высокочастотных устройств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ar106" w:tooltip="г) сведения о технических характеристиках и параметрах излучения регистрируемых радиоэлектронных средств и (или) высокочастотных устройств;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14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>Внесение изменений в запись в реестре зарегистрированных радиоэлектронных средств и высокочастотных устройств производится на основании обращения заявителя либо правопреемника владельца радиоэлектронных средств и (или)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</w:t>
      </w:r>
      <w:proofErr w:type="gramEnd"/>
      <w:r>
        <w:t xml:space="preserve"> территориальный орган Федеральной службы по надзору в сфере связи, информационных технологий и массовых коммуникаций. Внесение изменений в запись в реестре зарегистрированных радиоэлектронных средств и высокочастотных устройств осуществляется при изменении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высокочастотных устройств.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15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lastRenderedPageBreak/>
        <w:t>15(1). Утратил силу с 1 сентября 2018 года. - Постановление Правительства РФ от 14.12.2017 N 1547.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2018 года Постановлением Правительства РФ от 14.12.2017 N 1547 пункт 16 излагается в новой редакции.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r>
        <w:t>16.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</w:t>
      </w:r>
      <w:proofErr w:type="gramStart"/>
      <w:r>
        <w:t>ств пр</w:t>
      </w:r>
      <w:proofErr w:type="gramEnd"/>
      <w:r>
        <w:t>екращаются в следующих случаях: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а) истечение срока действия записи в реестре зарегистрированных радиоэлектронных средств и высокочастотных устройств;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б) прекращение действия разрешения на использование радиочастот (радиочастотных каналов) в отношении зарегистрированного радиоэлектронного средства и (или) высокочастотного устройства или прекращение действия решения Государственной комиссии по радиочастотам о выделении полос радиочастот, явившегося основанием для регистрации радиоэлектронных средств и (или) высокочастотных устройств;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в) представление заявления о прекращении регистрации радиоэлектронных средств и высокочастотных устрой</w:t>
      </w:r>
      <w:proofErr w:type="gramStart"/>
      <w:r>
        <w:t>ств вл</w:t>
      </w:r>
      <w:proofErr w:type="gramEnd"/>
      <w:r>
        <w:t>адельца радиоэлектронных средств и (или) высокочастотных устройств или пользователя радиоэлектронного средства;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>
        <w:t>ств св</w:t>
      </w:r>
      <w:proofErr w:type="gramEnd"/>
      <w:r>
        <w:t>едениям, представленным заявителем при их регистрации;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е) прекращение действия договоров, указанных в </w:t>
      </w:r>
      <w:hyperlink w:anchor="Par108" w:tooltip="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ar110" w:tooltip="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" w:history="1">
        <w:r>
          <w:rPr>
            <w:color w:val="0000FF"/>
          </w:rPr>
          <w:t>"е"</w:t>
        </w:r>
      </w:hyperlink>
      <w:r>
        <w:t xml:space="preserve"> и </w:t>
      </w:r>
      <w:hyperlink w:anchor="Par116" w:tooltip="з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Правил.</w:t>
      </w:r>
    </w:p>
    <w:p w:rsidR="00101C83" w:rsidRDefault="00A45751">
      <w:pPr>
        <w:pStyle w:val="ConsPlusNormal"/>
        <w:jc w:val="both"/>
      </w:pPr>
      <w:r>
        <w:t>(п. 16 в ред. Постановления Правительства РФ от 14.12.2017 N 1547)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>
        <w:t xml:space="preserve"> Федерации.</w:t>
      </w:r>
    </w:p>
    <w:p w:rsidR="00101C83" w:rsidRDefault="00A45751">
      <w:pPr>
        <w:pStyle w:val="ConsPlusNormal"/>
        <w:jc w:val="both"/>
      </w:pPr>
      <w:r>
        <w:t>(п. 18 в ред. Постановления Правительства РФ от 27.11.2014 N 1252)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lastRenderedPageBreak/>
        <w:t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Кодексом Российской Федерации об административных правонарушениях.</w:t>
      </w: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Normal"/>
        <w:jc w:val="right"/>
        <w:outlineLvl w:val="0"/>
      </w:pPr>
      <w:r>
        <w:t>Утвержден</w:t>
      </w:r>
    </w:p>
    <w:p w:rsidR="00101C83" w:rsidRDefault="00A45751">
      <w:pPr>
        <w:pStyle w:val="ConsPlusNormal"/>
        <w:jc w:val="right"/>
      </w:pPr>
      <w:r>
        <w:t>Постановлением Правительства</w:t>
      </w:r>
    </w:p>
    <w:p w:rsidR="00101C83" w:rsidRDefault="00A45751">
      <w:pPr>
        <w:pStyle w:val="ConsPlusNormal"/>
        <w:jc w:val="right"/>
      </w:pPr>
      <w:r>
        <w:t>Российской Федерации</w:t>
      </w:r>
    </w:p>
    <w:p w:rsidR="00101C83" w:rsidRDefault="00A45751">
      <w:pPr>
        <w:pStyle w:val="ConsPlusNormal"/>
        <w:jc w:val="right"/>
      </w:pPr>
      <w:r>
        <w:t>от 12 октября 2004 г. N 539</w:t>
      </w:r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Title"/>
        <w:jc w:val="center"/>
      </w:pPr>
      <w:bookmarkStart w:id="5" w:name="Par170"/>
      <w:bookmarkEnd w:id="5"/>
      <w:r>
        <w:t>ПЕРЕЧЕНЬ</w:t>
      </w:r>
    </w:p>
    <w:p w:rsidR="00101C83" w:rsidRDefault="00A45751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101C83" w:rsidRDefault="00A45751">
      <w:pPr>
        <w:pStyle w:val="ConsPlusTitle"/>
        <w:jc w:val="center"/>
      </w:pPr>
      <w:r>
        <w:t>ПОДЛЕЖАЩИХ РЕГИСТРАЦИИ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19.03.2013 N 237,</w:t>
            </w:r>
            <w:proofErr w:type="gramEnd"/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26.12.2015 N 1447, от 10.07.2017 N 816)</w:t>
            </w:r>
          </w:p>
        </w:tc>
      </w:tr>
    </w:tbl>
    <w:p w:rsidR="00101C83" w:rsidRDefault="00101C8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101C83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 xml:space="preserve">Пункты приложения </w:t>
            </w:r>
            <w:hyperlink w:anchor="Par270" w:tooltip="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приложен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1C83">
        <w:tc>
          <w:tcPr>
            <w:tcW w:w="567" w:type="dxa"/>
            <w:tcBorders>
              <w:top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101C83" w:rsidRDefault="00A45751">
            <w:pPr>
              <w:pStyle w:val="ConsPlusNormal"/>
            </w:pPr>
            <w:r>
              <w:t>Радиоэлектронные средства фиксированной службы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  <w:hyperlink w:anchor="Par290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 w:history="1">
              <w:r w:rsidR="00A45751">
                <w:rPr>
                  <w:color w:val="0000FF"/>
                </w:rPr>
                <w:t>1</w:t>
              </w:r>
            </w:hyperlink>
            <w:r w:rsidR="00A45751">
              <w:t xml:space="preserve">, </w:t>
            </w:r>
            <w:hyperlink w:anchor="Par292" w:tooltip="1(1). Абонентские устройства беспроводного доступа в информационно-телекоммуникационную сеть &quot;Интернет&quot;, мощность которых не превышает 100 мВт." w:history="1">
              <w:r w:rsidR="00A45751">
                <w:rPr>
                  <w:color w:val="0000FF"/>
                </w:rPr>
                <w:t>1(1)</w:t>
              </w:r>
            </w:hyperlink>
            <w:r w:rsidR="00A45751">
              <w:t xml:space="preserve">, </w:t>
            </w:r>
            <w:hyperlink w:anchor="Par295" w:tooltip="3. Абонентские станции фиксированного беспроводного доступа технологии CDMA (протокол IS-95) в полосах радиочастот 828 - 837 МГц и 873 - 882 МГц." w:history="1">
              <w:r w:rsidR="00A45751">
                <w:rPr>
                  <w:color w:val="0000FF"/>
                </w:rPr>
                <w:t>3</w:t>
              </w:r>
            </w:hyperlink>
            <w:r w:rsidR="00A45751">
              <w:t xml:space="preserve">, </w:t>
            </w:r>
            <w:hyperlink w:anchor="Par300" w:tooltip="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" w:history="1">
              <w:r w:rsidR="00A45751">
                <w:rPr>
                  <w:color w:val="0000FF"/>
                </w:rPr>
                <w:t>7</w:t>
              </w:r>
            </w:hyperlink>
            <w:r w:rsidR="00A45751">
              <w:t xml:space="preserve">, </w:t>
            </w:r>
            <w:hyperlink w:anchor="Par305" w:tooltip="8. Абонентские бесшнуровые телефонные аппараты в полосе радиочастот 30 - 41 МГц с допустимой мощностью излучения передатчика не более 10 мВт." w:history="1">
              <w:r w:rsidR="00A45751">
                <w:rPr>
                  <w:color w:val="0000FF"/>
                </w:rPr>
                <w:t>8</w:t>
              </w:r>
            </w:hyperlink>
            <w:r w:rsidR="00A45751">
              <w:t xml:space="preserve">, </w:t>
            </w:r>
            <w:hyperlink w:anchor="Par312" w:tooltip="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" w:history="1">
              <w:r w:rsidR="00A45751">
                <w:rPr>
                  <w:color w:val="0000FF"/>
                </w:rPr>
                <w:t>13</w:t>
              </w:r>
            </w:hyperlink>
            <w:r w:rsidR="00A45751">
              <w:t xml:space="preserve">, </w:t>
            </w: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радиовещательной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морской подвижной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290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 w:history="1">
              <w:proofErr w:type="gramStart"/>
              <w:r w:rsidR="00A45751">
                <w:rPr>
                  <w:color w:val="0000FF"/>
                </w:rPr>
                <w:t>1</w:t>
              </w:r>
            </w:hyperlink>
            <w:r w:rsidR="00A45751">
              <w:t xml:space="preserve">, </w:t>
            </w:r>
            <w:hyperlink w:anchor="Par292" w:tooltip="1(1). Абонентские устройства беспроводного доступа в информационно-телекоммуникационную сеть &quot;Интернет&quot;, мощность которых не превышает 100 мВт." w:history="1">
              <w:r w:rsidR="00A45751">
                <w:rPr>
                  <w:color w:val="0000FF"/>
                </w:rPr>
                <w:t>1(1)</w:t>
              </w:r>
            </w:hyperlink>
            <w:r w:rsidR="00A45751">
              <w:t xml:space="preserve">, </w:t>
            </w:r>
            <w:hyperlink w:anchor="Par294" w:tooltip="2. Станции сухопутной подвижной связи личного пользования диапазона 27 МГц (СиБи-диапазона) с допустимой мощностью излучения передатчика не более 10 Вт." w:history="1">
              <w:r w:rsidR="00A45751">
                <w:rPr>
                  <w:color w:val="0000FF"/>
                </w:rPr>
                <w:t>2</w:t>
              </w:r>
            </w:hyperlink>
            <w:r w:rsidR="00A45751">
              <w:t xml:space="preserve">, </w:t>
            </w:r>
            <w:hyperlink w:anchor="Par297" w:tooltip="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" w:history="1">
              <w:r w:rsidR="00A45751">
                <w:rPr>
                  <w:color w:val="0000FF"/>
                </w:rPr>
                <w:t>5</w:t>
              </w:r>
            </w:hyperlink>
            <w:r w:rsidR="00A45751">
              <w:t xml:space="preserve">, </w:t>
            </w:r>
            <w:hyperlink w:anchor="Par298" w:tooltip="6. Слуховые радиотренажеры для людей с дефектами слуха на радиочастотах:" w:history="1">
              <w:r w:rsidR="00A45751">
                <w:rPr>
                  <w:color w:val="0000FF"/>
                </w:rPr>
                <w:t>6</w:t>
              </w:r>
            </w:hyperlink>
            <w:r w:rsidR="00A45751">
              <w:t xml:space="preserve">, </w:t>
            </w:r>
            <w:hyperlink w:anchor="Par300" w:tooltip="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" w:history="1">
              <w:r w:rsidR="00A45751">
                <w:rPr>
                  <w:color w:val="0000FF"/>
                </w:rPr>
                <w:t>7</w:t>
              </w:r>
            </w:hyperlink>
            <w:r w:rsidR="00A45751">
              <w:t xml:space="preserve">, </w:t>
            </w:r>
            <w:hyperlink w:anchor="Par305" w:tooltip="8. Абонентские бесшнуровые телефонные аппараты в полосе радиочастот 30 - 41 МГц с допустимой мощностью излучения передатчика не более 10 мВт." w:history="1">
              <w:r w:rsidR="00A45751">
                <w:rPr>
                  <w:color w:val="0000FF"/>
                </w:rPr>
                <w:t>8</w:t>
              </w:r>
            </w:hyperlink>
            <w:r w:rsidR="00A45751">
              <w:t xml:space="preserve">, </w:t>
            </w:r>
            <w:hyperlink w:anchor="Par307" w:tooltip="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" w:history="1">
              <w:r w:rsidR="00A45751">
                <w:rPr>
                  <w:color w:val="0000FF"/>
                </w:rPr>
                <w:t>9</w:t>
              </w:r>
            </w:hyperlink>
            <w:r w:rsidR="00A45751">
              <w:t xml:space="preserve">, </w:t>
            </w:r>
            <w:hyperlink w:anchor="Par308" w:tooltip="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" w:history="1">
              <w:r w:rsidR="00A45751">
                <w:rPr>
                  <w:color w:val="0000FF"/>
                </w:rPr>
                <w:t>10</w:t>
              </w:r>
            </w:hyperlink>
            <w:r w:rsidR="00A45751">
              <w:t>,</w:t>
            </w:r>
            <w:proofErr w:type="gramEnd"/>
            <w:r w:rsidR="00A45751">
              <w:t xml:space="preserve"> </w:t>
            </w:r>
            <w:hyperlink w:anchor="Par310" w:tooltip="11. Радиоэлектронные средства технологии &quot;Bluetooth&quot; в полосе радиочастот 2400 - 2483,5 МГц с максимальной эквивалентной изотропно излучаемой мощностью передатчика не более 2,5 мВт." w:history="1">
              <w:r w:rsidR="00A45751">
                <w:rPr>
                  <w:color w:val="0000FF"/>
                </w:rPr>
                <w:t>11</w:t>
              </w:r>
            </w:hyperlink>
            <w:r w:rsidR="00A45751">
              <w:t xml:space="preserve">, </w:t>
            </w:r>
            <w:hyperlink w:anchor="Par311" w:tooltip="12. Маломощные радиостанции в полосе радиочастот 433,075 - 434,750 МГц с мощностью излучения передающих устройств не более 10 мВт." w:history="1">
              <w:r w:rsidR="00A45751">
                <w:rPr>
                  <w:color w:val="0000FF"/>
                </w:rPr>
                <w:t>12</w:t>
              </w:r>
            </w:hyperlink>
            <w:r w:rsidR="00A45751">
              <w:t xml:space="preserve">, </w:t>
            </w:r>
            <w:hyperlink w:anchor="Par312" w:tooltip="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" w:history="1">
              <w:r w:rsidR="00A45751">
                <w:rPr>
                  <w:color w:val="0000FF"/>
                </w:rPr>
                <w:t>13</w:t>
              </w:r>
            </w:hyperlink>
            <w:r w:rsidR="00A45751">
              <w:t xml:space="preserve">, </w:t>
            </w: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16" w:tooltip="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 w:history="1">
              <w:r w:rsidR="00A45751">
                <w:rPr>
                  <w:color w:val="0000FF"/>
                </w:rPr>
                <w:t>15</w:t>
              </w:r>
            </w:hyperlink>
            <w:r w:rsidR="00A45751">
              <w:t xml:space="preserve">, </w:t>
            </w:r>
            <w:hyperlink w:anchor="Par317" w:tooltip="16. Абонентские приемопередатчики поисковой радиосвязи и определения местоположения подвижных объектов &quot;NEX NET&quot; в полосе радиочастот 847 - 849 МГц с мощностью излучения передающих устройств до 0,125 Вт." w:history="1">
              <w:r w:rsidR="00A45751">
                <w:rPr>
                  <w:color w:val="0000FF"/>
                </w:rPr>
                <w:t>16</w:t>
              </w:r>
            </w:hyperlink>
            <w:r w:rsidR="00A45751">
              <w:t xml:space="preserve">, </w:t>
            </w:r>
            <w:hyperlink w:anchor="Par318" w:tooltip="17. Портативные радиостанции в полосе радиочастот 446 - 446,1 МГц с мощностью излучения передающих устройств не более 0,5 Вт." w:history="1">
              <w:r w:rsidR="00A45751">
                <w:rPr>
                  <w:color w:val="0000FF"/>
                </w:rPr>
                <w:t>17</w:t>
              </w:r>
            </w:hyperlink>
            <w:r w:rsidR="00A45751">
              <w:t xml:space="preserve">, </w:t>
            </w:r>
            <w:hyperlink w:anchor="Par319" w:tooltip="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" w:history="1">
              <w:r w:rsidR="00A45751">
                <w:rPr>
                  <w:color w:val="0000FF"/>
                </w:rPr>
                <w:t>18</w:t>
              </w:r>
            </w:hyperlink>
            <w:r w:rsidR="00A45751">
              <w:t xml:space="preserve">, </w:t>
            </w:r>
            <w:hyperlink w:anchor="Par329" w:tooltip="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" w:history="1">
              <w:r w:rsidR="00A45751">
                <w:rPr>
                  <w:color w:val="0000FF"/>
                </w:rPr>
                <w:t>24</w:t>
              </w:r>
            </w:hyperlink>
            <w:r w:rsidR="00A45751">
              <w:t xml:space="preserve">, </w:t>
            </w:r>
            <w:hyperlink w:anchor="Par353" w:tooltip="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" w:history="1">
              <w:r w:rsidR="00A45751">
                <w:rPr>
                  <w:color w:val="0000FF"/>
                </w:rPr>
                <w:t>33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любительской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20" w:tooltip="19. Станции любительской службы, временно ввозимые на территорию Российской Федерации." w:history="1">
              <w:r w:rsidR="00A45751">
                <w:rPr>
                  <w:color w:val="0000FF"/>
                </w:rPr>
                <w:t>19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радиолокационной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lastRenderedPageBreak/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радионавигационной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радиовещательной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290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 w:history="1">
              <w:r w:rsidR="00A45751">
                <w:rPr>
                  <w:color w:val="0000FF"/>
                </w:rPr>
                <w:t>1</w:t>
              </w:r>
            </w:hyperlink>
            <w:r w:rsidR="00A45751">
              <w:t xml:space="preserve">, </w:t>
            </w: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16" w:tooltip="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 w:history="1">
              <w:r w:rsidR="00A45751">
                <w:rPr>
                  <w:color w:val="0000FF"/>
                </w:rPr>
                <w:t>15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290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 w:history="1">
              <w:r w:rsidR="00A45751">
                <w:rPr>
                  <w:color w:val="0000FF"/>
                </w:rPr>
                <w:t>1</w:t>
              </w:r>
            </w:hyperlink>
            <w:r w:rsidR="00A45751">
              <w:t xml:space="preserve">, </w:t>
            </w: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290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 w:history="1">
              <w:r w:rsidR="00A45751">
                <w:rPr>
                  <w:color w:val="0000FF"/>
                </w:rPr>
                <w:t>1</w:t>
              </w:r>
            </w:hyperlink>
            <w:r w:rsidR="00A45751">
              <w:t xml:space="preserve">, </w:t>
            </w: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службы космических исследований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 xml:space="preserve">Радиоэлектронные средства спутниковой службы </w:t>
            </w:r>
            <w:proofErr w:type="spellStart"/>
            <w:r>
              <w:t>радиоопределения</w:t>
            </w:r>
            <w:proofErr w:type="spellEnd"/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  <w:r w:rsidR="00A45751">
              <w:t xml:space="preserve">, </w:t>
            </w: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296" w:tooltip="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" w:history="1">
              <w:r w:rsidR="00A45751">
                <w:rPr>
                  <w:color w:val="0000FF"/>
                </w:rPr>
                <w:t>4</w:t>
              </w:r>
            </w:hyperlink>
            <w:r w:rsidR="00A45751">
              <w:t xml:space="preserve">, </w:t>
            </w:r>
            <w:hyperlink w:anchor="Par321" w:tooltip="20. Высокочастотные устройства при использовании частот 10 кГц и ниже." w:history="1">
              <w:r w:rsidR="00A45751">
                <w:rPr>
                  <w:color w:val="0000FF"/>
                </w:rPr>
                <w:t>20</w:t>
              </w:r>
            </w:hyperlink>
            <w:r w:rsidR="00A45751">
              <w:t xml:space="preserve">, </w:t>
            </w:r>
            <w:hyperlink w:anchor="Par337" w:tooltip="25. Индукционные устройства в полосе радиочастот:" w:history="1">
              <w:r w:rsidR="00A45751">
                <w:rPr>
                  <w:color w:val="0000FF"/>
                </w:rPr>
                <w:t>25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15" w:tooltip="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 w:history="1">
              <w:r w:rsidR="00A45751">
                <w:rPr>
                  <w:color w:val="0000FF"/>
                </w:rPr>
                <w:t>14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Устройства малого радиуса действия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22" w:tooltip="21. Радиоэлектронные средства для обнаружения и спасания пострадавших от стихийных бедствий, работающие на радиочастоте 457 кГц." w:history="1">
              <w:proofErr w:type="gramStart"/>
              <w:r w:rsidR="00A45751">
                <w:rPr>
                  <w:color w:val="0000FF"/>
                </w:rPr>
                <w:t>21</w:t>
              </w:r>
            </w:hyperlink>
            <w:r w:rsidR="00A45751">
              <w:t xml:space="preserve">, </w:t>
            </w:r>
            <w:hyperlink w:anchor="Par323" w:tooltip="22. Неспециализированные (любого назначения) устройства в полосах радиочастот:" w:history="1">
              <w:r w:rsidR="00A45751">
                <w:rPr>
                  <w:color w:val="0000FF"/>
                </w:rPr>
                <w:t>22</w:t>
              </w:r>
            </w:hyperlink>
            <w:r w:rsidR="00A45751">
              <w:t xml:space="preserve">, </w:t>
            </w:r>
            <w:hyperlink w:anchor="Par326" w:tooltip="23. Устройства малого радиуса действия:" w:history="1">
              <w:r w:rsidR="00A45751">
                <w:rPr>
                  <w:color w:val="0000FF"/>
                </w:rPr>
                <w:t>23</w:t>
              </w:r>
            </w:hyperlink>
            <w:r w:rsidR="00A45751">
              <w:t xml:space="preserve">, </w:t>
            </w:r>
            <w:hyperlink w:anchor="Par329" w:tooltip="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" w:history="1">
              <w:r w:rsidR="00A45751">
                <w:rPr>
                  <w:color w:val="0000FF"/>
                </w:rPr>
                <w:t>24</w:t>
              </w:r>
            </w:hyperlink>
            <w:r w:rsidR="00A45751">
              <w:t xml:space="preserve">, </w:t>
            </w:r>
            <w:hyperlink w:anchor="Par337" w:tooltip="25. Индукционные устройства в полосе радиочастот:" w:history="1">
              <w:r w:rsidR="00A45751">
                <w:rPr>
                  <w:color w:val="0000FF"/>
                </w:rPr>
                <w:t>25</w:t>
              </w:r>
            </w:hyperlink>
            <w:r w:rsidR="00A45751">
              <w:t xml:space="preserve">, </w:t>
            </w:r>
            <w:hyperlink w:anchor="Par344" w:tooltip="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" w:history="1">
              <w:r w:rsidR="00A45751">
                <w:rPr>
                  <w:color w:val="0000FF"/>
                </w:rPr>
                <w:t>26</w:t>
              </w:r>
            </w:hyperlink>
            <w:r w:rsidR="00A45751">
              <w:t xml:space="preserve">, </w:t>
            </w:r>
            <w:hyperlink w:anchor="Par345" w:tooltip="27. Устройства радиочастотной идентификации в полосе радиочастот:" w:history="1">
              <w:r w:rsidR="00A45751">
                <w:rPr>
                  <w:color w:val="0000FF"/>
                </w:rPr>
                <w:t>27</w:t>
              </w:r>
            </w:hyperlink>
            <w:r w:rsidR="00A45751">
              <w:t xml:space="preserve">, </w:t>
            </w:r>
            <w:hyperlink w:anchor="Par348" w:tooltip="28. Телематические устройства на транспорте в полосе радиочастот 5795 - 5815 МГц с допустимой мощностью излучения передатчика не более 200 мВт." w:history="1">
              <w:r w:rsidR="00A45751">
                <w:rPr>
                  <w:color w:val="0000FF"/>
                </w:rPr>
                <w:t>28</w:t>
              </w:r>
            </w:hyperlink>
            <w:r w:rsidR="00A45751">
              <w:t xml:space="preserve">, </w:t>
            </w:r>
            <w:hyperlink w:anchor="Par349" w:tooltip="29. Беспроводное аудиооборудование в полосе радиочастот 863 - 865 МГц с допустимой мощностью излучения передатчика не более 10 мВт." w:history="1">
              <w:r w:rsidR="00A45751">
                <w:rPr>
                  <w:color w:val="0000FF"/>
                </w:rPr>
                <w:t>29</w:t>
              </w:r>
            </w:hyperlink>
            <w:r w:rsidR="00A45751">
              <w:t xml:space="preserve">, </w:t>
            </w:r>
            <w:hyperlink w:anchor="Par350" w:tooltip="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" w:history="1">
              <w:r w:rsidR="00A45751">
                <w:rPr>
                  <w:color w:val="0000FF"/>
                </w:rPr>
                <w:t>30</w:t>
              </w:r>
            </w:hyperlink>
            <w:r w:rsidR="00A45751">
              <w:t>,</w:t>
            </w:r>
            <w:proofErr w:type="gramEnd"/>
            <w:r w:rsidR="00A45751">
              <w:t xml:space="preserve"> </w:t>
            </w:r>
            <w:hyperlink w:anchor="Par351" w:tooltip="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" w:history="1">
              <w:r w:rsidR="00A45751">
                <w:rPr>
                  <w:color w:val="0000FF"/>
                </w:rPr>
                <w:t>31</w:t>
              </w:r>
            </w:hyperlink>
            <w:r w:rsidR="00A45751">
              <w:t xml:space="preserve">, </w:t>
            </w:r>
            <w:hyperlink w:anchor="Par352" w:tooltip="32. Радиоэлектронные средства интеллектуальных систем на транспорте (ITS) в диапазоне радиочастот 63 - 64 ГГц." w:history="1">
              <w:r w:rsidR="00A45751">
                <w:rPr>
                  <w:color w:val="0000FF"/>
                </w:rPr>
                <w:t>32</w:t>
              </w:r>
            </w:hyperlink>
            <w:r w:rsidR="00A45751">
              <w:t xml:space="preserve">, </w:t>
            </w:r>
            <w:hyperlink w:anchor="Par354" w:tooltip="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" w:history="1">
              <w:r w:rsidR="00A45751">
                <w:rPr>
                  <w:color w:val="0000FF"/>
                </w:rPr>
                <w:t>34</w:t>
              </w:r>
            </w:hyperlink>
          </w:p>
        </w:tc>
      </w:tr>
      <w:tr w:rsidR="00101C83">
        <w:tc>
          <w:tcPr>
            <w:tcW w:w="567" w:type="dxa"/>
          </w:tcPr>
          <w:p w:rsidR="00101C83" w:rsidRDefault="00A457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101C83" w:rsidRDefault="00A45751">
            <w:pPr>
              <w:pStyle w:val="ConsPlusNormal"/>
            </w:pPr>
            <w:r>
              <w:t>Генераторы шума</w:t>
            </w:r>
          </w:p>
        </w:tc>
        <w:tc>
          <w:tcPr>
            <w:tcW w:w="2268" w:type="dxa"/>
          </w:tcPr>
          <w:p w:rsidR="00101C83" w:rsidRDefault="00101C83">
            <w:pPr>
              <w:pStyle w:val="ConsPlusNormal"/>
              <w:jc w:val="center"/>
            </w:pPr>
            <w:hyperlink w:anchor="Par357" w:tooltip="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 w:history="1">
              <w:r w:rsidR="00A45751">
                <w:rPr>
                  <w:color w:val="0000FF"/>
                </w:rPr>
                <w:t>36</w:t>
              </w:r>
            </w:hyperlink>
          </w:p>
        </w:tc>
      </w:tr>
      <w:tr w:rsidR="00101C8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01C83" w:rsidRDefault="00A45751">
            <w:pPr>
              <w:pStyle w:val="ConsPlusNormal"/>
              <w:jc w:val="both"/>
            </w:pPr>
            <w:r>
              <w:t>(в ред. Постановления Правительства РФ от 10.07.2017 N 816)</w:t>
            </w:r>
          </w:p>
        </w:tc>
      </w:tr>
    </w:tbl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Normal"/>
        <w:ind w:firstLine="540"/>
        <w:jc w:val="both"/>
      </w:pPr>
      <w:r>
        <w:t>--------------------------------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6" w:name="Par270"/>
      <w:bookmarkEnd w:id="6"/>
      <w: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ar281" w:tooltip="ИЗЪЯТИЯ ИЗ ПЕРЕЧНЯ" w:history="1">
        <w:r>
          <w:rPr>
            <w:color w:val="0000FF"/>
          </w:rPr>
          <w:t>приложении</w:t>
        </w:r>
      </w:hyperlink>
      <w:r>
        <w:t>.</w:t>
      </w: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Normal"/>
        <w:jc w:val="right"/>
        <w:outlineLvl w:val="1"/>
      </w:pPr>
      <w:r>
        <w:t>Приложение</w:t>
      </w:r>
    </w:p>
    <w:p w:rsidR="00101C83" w:rsidRDefault="00A45751">
      <w:pPr>
        <w:pStyle w:val="ConsPlusNormal"/>
        <w:jc w:val="right"/>
      </w:pPr>
      <w:r>
        <w:t>к перечню радиоэлектронных средств</w:t>
      </w:r>
    </w:p>
    <w:p w:rsidR="00101C83" w:rsidRDefault="00A45751">
      <w:pPr>
        <w:pStyle w:val="ConsPlusNormal"/>
        <w:jc w:val="right"/>
      </w:pPr>
      <w:r>
        <w:t>и высокочастотных устройств,</w:t>
      </w:r>
    </w:p>
    <w:p w:rsidR="00101C83" w:rsidRDefault="00A45751">
      <w:pPr>
        <w:pStyle w:val="ConsPlusNormal"/>
        <w:jc w:val="right"/>
      </w:pPr>
      <w:r>
        <w:t>подлежащих регистрации</w:t>
      </w:r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Title"/>
        <w:jc w:val="center"/>
      </w:pPr>
      <w:bookmarkStart w:id="7" w:name="Par281"/>
      <w:bookmarkEnd w:id="7"/>
      <w:r>
        <w:t xml:space="preserve">ИЗЪЯТИЯ ИЗ </w:t>
      </w:r>
      <w:hyperlink w:anchor="Par170" w:tooltip="ПЕРЕЧЕНЬ" w:history="1">
        <w:r>
          <w:rPr>
            <w:color w:val="0000FF"/>
          </w:rPr>
          <w:t>ПЕРЕЧНЯ</w:t>
        </w:r>
      </w:hyperlink>
    </w:p>
    <w:p w:rsidR="00101C83" w:rsidRDefault="00A45751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101C83" w:rsidRDefault="00A45751">
      <w:pPr>
        <w:pStyle w:val="ConsPlusTitle"/>
        <w:jc w:val="center"/>
      </w:pPr>
      <w:r>
        <w:t>ПОДЛЕЖАЩИХ РЕГИСТРАЦИИ</w:t>
      </w:r>
    </w:p>
    <w:p w:rsidR="00101C83" w:rsidRDefault="00101C8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13.10.2011 N 837,</w:t>
            </w:r>
            <w:proofErr w:type="gramEnd"/>
          </w:p>
          <w:p w:rsidR="00101C83" w:rsidRDefault="00A45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19.03.2013 N 237, от 26.12.2015 N 1447, от 10.07.2017 N 816)</w:t>
            </w:r>
          </w:p>
        </w:tc>
      </w:tr>
    </w:tbl>
    <w:p w:rsidR="00101C83" w:rsidRDefault="00101C8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01C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C83" w:rsidRDefault="00A45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Согласно разъяснению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      </w:r>
          </w:p>
        </w:tc>
      </w:tr>
    </w:tbl>
    <w:p w:rsidR="00101C83" w:rsidRDefault="00A45751">
      <w:pPr>
        <w:pStyle w:val="ConsPlusNormal"/>
        <w:spacing w:before="300"/>
        <w:ind w:firstLine="540"/>
        <w:jc w:val="both"/>
      </w:pPr>
      <w:bookmarkStart w:id="8" w:name="Par290"/>
      <w:bookmarkEnd w:id="8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101C83" w:rsidRDefault="00A45751">
      <w:pPr>
        <w:pStyle w:val="ConsPlusNormal"/>
        <w:jc w:val="both"/>
      </w:pPr>
      <w:r>
        <w:t>(п. 1 в ред. Постановления Правительства РФ от 19.03.2013 N 237)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9" w:name="Par292"/>
      <w:bookmarkEnd w:id="9"/>
      <w:r>
        <w:lastRenderedPageBreak/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101C83" w:rsidRDefault="00A45751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Постановлением Правительства РФ от 19.03.2013 N 237)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0" w:name="Par294"/>
      <w:bookmarkEnd w:id="10"/>
      <w:r>
        <w:t>2. Станции сухопутной подвижной связи личного пользования диапазона 27 МГц (</w:t>
      </w:r>
      <w:proofErr w:type="spellStart"/>
      <w:r>
        <w:t>СиБи-диапазона</w:t>
      </w:r>
      <w:proofErr w:type="spellEnd"/>
      <w:r>
        <w:t>) с допустимой мощностью излучения передатчика не более 10 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1" w:name="Par295"/>
      <w:bookmarkEnd w:id="11"/>
      <w: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2" w:name="Par296"/>
      <w:bookmarkEnd w:id="12"/>
      <w:r>
        <w:t xml:space="preserve">4. </w:t>
      </w:r>
      <w:proofErr w:type="gramStart"/>
      <w:r>
        <w:t xml:space="preserve">Бытовые </w:t>
      </w:r>
      <w:proofErr w:type="spellStart"/>
      <w:r>
        <w:t>СВЧ-печи</w:t>
      </w:r>
      <w:proofErr w:type="spellEnd"/>
      <w:r>
        <w:t xml:space="preserve">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  <w:proofErr w:type="gramEnd"/>
    </w:p>
    <w:p w:rsidR="00101C83" w:rsidRDefault="00A45751">
      <w:pPr>
        <w:pStyle w:val="ConsPlusNormal"/>
        <w:spacing w:before="240"/>
        <w:ind w:firstLine="540"/>
        <w:jc w:val="both"/>
      </w:pPr>
      <w:bookmarkStart w:id="13" w:name="Par297"/>
      <w:bookmarkEnd w:id="13"/>
      <w:r>
        <w:t xml:space="preserve">5. Радиоэлектронные средства для обработки </w:t>
      </w:r>
      <w:proofErr w:type="spellStart"/>
      <w:r>
        <w:t>штрихкодовых</w:t>
      </w:r>
      <w:proofErr w:type="spellEnd"/>
      <w:r>
        <w:t xml:space="preserve">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4" w:name="Par298"/>
      <w:bookmarkEnd w:id="14"/>
      <w:r>
        <w:t xml:space="preserve">6. </w:t>
      </w:r>
      <w:proofErr w:type="gramStart"/>
      <w:r>
        <w:t>Слуховые</w:t>
      </w:r>
      <w:proofErr w:type="gramEnd"/>
      <w:r>
        <w:t xml:space="preserve"> </w:t>
      </w:r>
      <w:proofErr w:type="spellStart"/>
      <w:r>
        <w:t>радиотренажеры</w:t>
      </w:r>
      <w:proofErr w:type="spellEnd"/>
      <w:r>
        <w:t xml:space="preserve"> для людей с дефектами слуха на радиочастотах: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gramStart"/>
      <w:r>
        <w:t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</w:t>
      </w:r>
      <w:proofErr w:type="gramEnd"/>
      <w:r>
        <w:t xml:space="preserve"> </w:t>
      </w:r>
      <w:proofErr w:type="gramStart"/>
      <w:r>
        <w:t>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</w:t>
      </w:r>
      <w:proofErr w:type="gramEnd"/>
      <w:r>
        <w:t xml:space="preserve"> </w:t>
      </w:r>
      <w:proofErr w:type="gramStart"/>
      <w:r>
        <w:t>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</w:t>
      </w:r>
      <w:proofErr w:type="gramEnd"/>
      <w:r>
        <w:t xml:space="preserve"> </w:t>
      </w:r>
      <w:proofErr w:type="gramStart"/>
      <w:r>
        <w:t>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40,650 МГц; 40,825 МГц; 41,300 МГц; 41,325 МГц; 41,350 МГц;</w:t>
      </w:r>
      <w:proofErr w:type="gramEnd"/>
      <w:r>
        <w:t xml:space="preserve"> </w:t>
      </w:r>
      <w:proofErr w:type="gramStart"/>
      <w:r>
        <w:t>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</w:t>
      </w:r>
      <w:proofErr w:type="gramEnd"/>
      <w:r>
        <w:t xml:space="preserve"> </w:t>
      </w:r>
      <w:proofErr w:type="gramStart"/>
      <w:r>
        <w:t>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</w:t>
      </w:r>
      <w:proofErr w:type="gramEnd"/>
      <w:r>
        <w:t xml:space="preserve"> </w:t>
      </w:r>
      <w:proofErr w:type="gramStart"/>
      <w:r>
        <w:t>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</w:t>
      </w:r>
      <w:proofErr w:type="gramEnd"/>
      <w:r>
        <w:t xml:space="preserve"> </w:t>
      </w:r>
      <w:proofErr w:type="gramStart"/>
      <w:r>
        <w:t xml:space="preserve">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</w:t>
      </w:r>
      <w:r>
        <w:lastRenderedPageBreak/>
        <w:t>МГц; 47,575 МГц; 47,625 МГц; 47,675 МГц; 47,700 МГц; 47,725 МГц;</w:t>
      </w:r>
      <w:proofErr w:type="gramEnd"/>
      <w:r>
        <w:t xml:space="preserve"> </w:t>
      </w:r>
      <w:proofErr w:type="gramStart"/>
      <w:r>
        <w:t>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</w:t>
      </w:r>
      <w:proofErr w:type="gramEnd"/>
      <w:r>
        <w:t xml:space="preserve"> </w:t>
      </w:r>
      <w:proofErr w:type="gramStart"/>
      <w:r>
        <w:t>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</w:t>
      </w:r>
      <w:proofErr w:type="gramEnd"/>
      <w:r>
        <w:t xml:space="preserve"> 57,4500 МГц; 57,4750 МГц; 57,4875 МГц; 57,5000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5" w:name="Par300"/>
      <w:bookmarkEnd w:id="15"/>
      <w:r>
        <w:t xml:space="preserve">7. </w:t>
      </w:r>
      <w:proofErr w:type="gramStart"/>
      <w:r>
        <w:t xml:space="preserve">Устройства охранной </w:t>
      </w:r>
      <w:proofErr w:type="spellStart"/>
      <w:r>
        <w:t>радиосигнализации</w:t>
      </w:r>
      <w:proofErr w:type="spellEnd"/>
      <w:r>
        <w:t xml:space="preserve"> на радиочастотах 26,945 МГц (автомашин) и 26,960 МГц (помещений) с допустимой мощностью излучения передатчика не более 2 Вт.</w:t>
      </w:r>
      <w:proofErr w:type="gramEnd"/>
    </w:p>
    <w:p w:rsidR="00101C83" w:rsidRDefault="00A45751">
      <w:pPr>
        <w:pStyle w:val="ConsPlusNormal"/>
        <w:spacing w:before="240"/>
        <w:ind w:firstLine="540"/>
        <w:jc w:val="both"/>
      </w:pPr>
      <w:proofErr w:type="gramStart"/>
      <w:r>
        <w:t xml:space="preserve">Устройства охранной </w:t>
      </w:r>
      <w:proofErr w:type="spellStart"/>
      <w:r>
        <w:t>радиосигнализации</w:t>
      </w:r>
      <w:proofErr w:type="spellEnd"/>
      <w:r>
        <w:t xml:space="preserve"> автомашин в полосе радиочастот 433,05 - 434,79 (433,92 +/- 0,2%) МГц с допустимой мощностью излучения передатчика не более 5 мВт.</w:t>
      </w:r>
      <w:proofErr w:type="gramEnd"/>
    </w:p>
    <w:p w:rsidR="00101C83" w:rsidRDefault="00A45751">
      <w:pPr>
        <w:pStyle w:val="ConsPlusNormal"/>
        <w:spacing w:before="24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6" w:name="Par305"/>
      <w:bookmarkEnd w:id="16"/>
      <w:r>
        <w:t xml:space="preserve">8. Абонентские </w:t>
      </w:r>
      <w:proofErr w:type="spellStart"/>
      <w:r>
        <w:t>бесшнуровые</w:t>
      </w:r>
      <w:proofErr w:type="spellEnd"/>
      <w:r>
        <w:t xml:space="preserve"> телефонные аппараты в полосе радиочастот 30 - 41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gramStart"/>
      <w:r>
        <w:t xml:space="preserve">Абонентские (использующие не более 1 абонентского номера) </w:t>
      </w:r>
      <w:proofErr w:type="spellStart"/>
      <w:r>
        <w:t>бесшнуровые</w:t>
      </w:r>
      <w:proofErr w:type="spellEnd"/>
      <w:r>
        <w:t xml:space="preserve"> телефонные аппараты в полосах радиочастот 814 - 815 МГц и 904 - 905 МГц, портативные абонентские </w:t>
      </w:r>
      <w:proofErr w:type="spellStart"/>
      <w:r>
        <w:t>радиоблоки</w:t>
      </w:r>
      <w:proofErr w:type="spellEnd"/>
      <w:r>
        <w:t xml:space="preserve"> и </w:t>
      </w:r>
      <w:proofErr w:type="spellStart"/>
      <w:r>
        <w:t>бесшнуровые</w:t>
      </w:r>
      <w:proofErr w:type="spellEnd"/>
      <w:r>
        <w:t xml:space="preserve"> телефонные аппараты технологии DECT в полосе радиочастот 1880 - 1900 МГц с допустимой мощностью излучения передатчика не более 10 мВт.</w:t>
      </w:r>
      <w:proofErr w:type="gramEnd"/>
    </w:p>
    <w:p w:rsidR="00101C83" w:rsidRDefault="00A45751">
      <w:pPr>
        <w:pStyle w:val="ConsPlusNormal"/>
        <w:spacing w:before="240"/>
        <w:ind w:firstLine="540"/>
        <w:jc w:val="both"/>
      </w:pPr>
      <w:bookmarkStart w:id="17" w:name="Par307"/>
      <w:bookmarkEnd w:id="17"/>
      <w: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8" w:name="Par308"/>
      <w:bookmarkEnd w:id="18"/>
      <w:r>
        <w:t xml:space="preserve">10. Концертные </w:t>
      </w:r>
      <w:proofErr w:type="spellStart"/>
      <w:r>
        <w:t>радиомикрофоны</w:t>
      </w:r>
      <w:proofErr w:type="spellEnd"/>
      <w:r>
        <w:t xml:space="preserve">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101C83" w:rsidRDefault="00A45751">
      <w:pPr>
        <w:pStyle w:val="ConsPlusNormal"/>
        <w:spacing w:before="240"/>
        <w:ind w:firstLine="540"/>
        <w:jc w:val="both"/>
      </w:pPr>
      <w:proofErr w:type="spellStart"/>
      <w:r>
        <w:t>Радиомикрофоны</w:t>
      </w:r>
      <w:proofErr w:type="spellEnd"/>
      <w:r>
        <w:t xml:space="preserve"> в полосах радиочастот 66 - 74 МГц, 87,5 - 92 МГц и 100 - 108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19" w:name="Par310"/>
      <w:bookmarkEnd w:id="19"/>
      <w:r>
        <w:t>11. Радиоэлектронные средства технологии "</w:t>
      </w:r>
      <w:proofErr w:type="spellStart"/>
      <w:r>
        <w:t>Bluetooth</w:t>
      </w:r>
      <w:proofErr w:type="spellEnd"/>
      <w:r>
        <w:t>" в полосе радиочастот 2400 - 2483,5 МГц с максимальной эквивалентной изотропно излучаемой мощностью передатчика не более 2,5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0" w:name="Par311"/>
      <w:bookmarkEnd w:id="20"/>
      <w:r>
        <w:lastRenderedPageBreak/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1" w:name="Par312"/>
      <w:bookmarkEnd w:id="21"/>
      <w:r>
        <w:t xml:space="preserve">13. </w:t>
      </w:r>
      <w:proofErr w:type="gramStart"/>
      <w:r>
        <w:t>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</w:t>
      </w:r>
      <w:proofErr w:type="spellStart"/>
      <w:r>
        <w:t>Wi-Fi</w:t>
      </w:r>
      <w:proofErr w:type="spellEnd"/>
      <w:r>
        <w:t>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  <w:proofErr w:type="gramEnd"/>
    </w:p>
    <w:p w:rsidR="00101C83" w:rsidRDefault="00A45751">
      <w:pPr>
        <w:pStyle w:val="ConsPlusNormal"/>
        <w:spacing w:before="24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</w:t>
      </w:r>
      <w:proofErr w:type="spellStart"/>
      <w:r>
        <w:t>Wi-Fi</w:t>
      </w:r>
      <w:proofErr w:type="spellEnd"/>
      <w:r>
        <w:t>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2" w:name="Par315"/>
      <w:bookmarkEnd w:id="22"/>
      <w: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</w:t>
      </w:r>
      <w:proofErr w:type="spellStart"/>
      <w:r>
        <w:t>радиопейджеры</w:t>
      </w:r>
      <w:proofErr w:type="spellEnd"/>
      <w:r>
        <w:t>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3" w:name="Par316"/>
      <w:bookmarkEnd w:id="23"/>
      <w: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4" w:name="Par317"/>
      <w:bookmarkEnd w:id="24"/>
      <w: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5" w:name="Par318"/>
      <w:bookmarkEnd w:id="25"/>
      <w: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6" w:name="Par319"/>
      <w:bookmarkEnd w:id="26"/>
      <w:r>
        <w:t xml:space="preserve">18. Детские радиосигнальные и радиопереговорные устройства, а также устройства </w:t>
      </w:r>
      <w:proofErr w:type="spellStart"/>
      <w:r>
        <w:t>радиоконтроля</w:t>
      </w:r>
      <w:proofErr w:type="spellEnd"/>
      <w:r>
        <w:t xml:space="preserve">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7" w:name="Par320"/>
      <w:bookmarkEnd w:id="27"/>
      <w:r>
        <w:t>19. Станции любительской службы, временно ввозимые на территорию Российской Федерации.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8" w:name="Par321"/>
      <w:bookmarkEnd w:id="28"/>
      <w:r>
        <w:t>20. Высокочастотные устройства при использовании частот 10 кГц и ниже.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29" w:name="Par322"/>
      <w:bookmarkEnd w:id="29"/>
      <w: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0" w:name="Par323"/>
      <w:bookmarkEnd w:id="30"/>
      <w:r>
        <w:t>22. Неспециализированные (любого назначения) устройства в полосах радиочастот: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lastRenderedPageBreak/>
        <w:t>26,957 - 27,283 МГц, 40,660 - 40,700 МГц и 433,075 - 434,790 МГц с допустимой мощностью излучения передатчика не более 10 мВт;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864 - 865 МГц, 868,7 - 869,2 МГц и 5725 - 5875 МГц с допустимой мощностью излучения передатчика не более 25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1" w:name="Par326"/>
      <w:bookmarkEnd w:id="31"/>
      <w:r>
        <w:t>23. Устройства малого радиуса действия: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2" w:name="Par329"/>
      <w:bookmarkEnd w:id="32"/>
      <w: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 xml:space="preserve"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</w:t>
      </w:r>
      <w:proofErr w:type="gramStart"/>
      <w:r>
        <w:t>других</w:t>
      </w:r>
      <w:proofErr w:type="gramEnd"/>
      <w:r>
        <w:t xml:space="preserve"> отличных от псевдослучайной перестройки рабочей частоты видов модуляции: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при максимальной спектральной плотности эквивалентной изотропно излучаемой мощности 2 мВт/МГц;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3" w:name="Par337"/>
      <w:bookmarkEnd w:id="33"/>
      <w:r>
        <w:t>25. Индукционные устройства в полосе радиочастот: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lastRenderedPageBreak/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7400 - 8800 кГц с максимальной напряженностью магнитного поля 9 дБ (мкА/м) на расстоянии 10 м;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4" w:name="Par344"/>
      <w:bookmarkEnd w:id="34"/>
      <w:r>
        <w:t xml:space="preserve">26. Устройства для обнаружения передвижения и устройства </w:t>
      </w:r>
      <w:proofErr w:type="spellStart"/>
      <w:r>
        <w:t>радиосигнализации</w:t>
      </w:r>
      <w:proofErr w:type="spellEnd"/>
      <w:r>
        <w:t xml:space="preserve"> в полосе радиочастот 24,05 - 24,25 ГГц с максимальной эквивалентной изотропно излучаемой мощностью передатчика не более 100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5" w:name="Par345"/>
      <w:bookmarkEnd w:id="35"/>
      <w:r>
        <w:t>27. Устройства радиочастотной идентификации в полосе радиочастот: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866,6 - 867,4 МГц с максимальной эффективно излучаемой мощностью передатчика не более 100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6" w:name="Par348"/>
      <w:bookmarkEnd w:id="36"/>
      <w:r>
        <w:t xml:space="preserve">28. </w:t>
      </w:r>
      <w:proofErr w:type="spellStart"/>
      <w:r>
        <w:t>Телематические</w:t>
      </w:r>
      <w:proofErr w:type="spellEnd"/>
      <w:r>
        <w:t xml:space="preserve"> устройства на транспорте в полосе радиочастот 5795 - 5815 МГц с допустимой мощностью излучения передатчика не более 200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7" w:name="Par349"/>
      <w:bookmarkEnd w:id="37"/>
      <w:r>
        <w:t xml:space="preserve">29. </w:t>
      </w:r>
      <w:proofErr w:type="gramStart"/>
      <w:r>
        <w:t>Беспроводное</w:t>
      </w:r>
      <w:proofErr w:type="gramEnd"/>
      <w:r>
        <w:t xml:space="preserve"> </w:t>
      </w:r>
      <w:proofErr w:type="spellStart"/>
      <w:r>
        <w:t>аудиооборудование</w:t>
      </w:r>
      <w:proofErr w:type="spellEnd"/>
      <w:r>
        <w:t xml:space="preserve"> в полосе радиочастот 863 - 865 МГц с допустимой мощностью излучения передатчика не более 10 мВт.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8" w:name="Par350"/>
      <w:bookmarkEnd w:id="38"/>
      <w:r>
        <w:t xml:space="preserve"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</w:t>
      </w:r>
      <w:proofErr w:type="spellStart"/>
      <w:r>
        <w:t>дБм</w:t>
      </w:r>
      <w:proofErr w:type="spellEnd"/>
      <w:r>
        <w:t>/МГц, а также автомобильные радары и автомобильные сверхширокополосные радары в полосе радиочастот 76 - 77 ГГц и 77 - 81 ГГц.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39" w:name="Par351"/>
      <w:bookmarkEnd w:id="39"/>
      <w:r>
        <w:t xml:space="preserve">31. Беспроводные </w:t>
      </w:r>
      <w:proofErr w:type="spellStart"/>
      <w:r>
        <w:t>аудиоприложения</w:t>
      </w:r>
      <w:proofErr w:type="spellEnd"/>
      <w:r>
        <w:t xml:space="preserve">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</w:t>
      </w:r>
      <w:proofErr w:type="spellStart"/>
      <w:r>
        <w:t>дБм</w:t>
      </w:r>
      <w:proofErr w:type="spellEnd"/>
      <w:r>
        <w:t>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40" w:name="Par352"/>
      <w:bookmarkEnd w:id="40"/>
      <w:r>
        <w:t>32. Радиоэлектронные средства интеллектуальных систем на транспорте (ITS) в диапазоне радиочастот 63 - 64 ГГц.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41" w:name="Par353"/>
      <w:bookmarkEnd w:id="41"/>
      <w: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42" w:name="Par354"/>
      <w:bookmarkEnd w:id="42"/>
      <w:r>
        <w:t xml:space="preserve"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</w:t>
      </w:r>
      <w:r>
        <w:lastRenderedPageBreak/>
        <w:t>радиочастот не менее 500 МГц) и имеющие технические характеристики, соответствующие характеристикам, указанным в таблице.</w:t>
      </w:r>
    </w:p>
    <w:p w:rsidR="00101C83" w:rsidRDefault="00A45751">
      <w:pPr>
        <w:pStyle w:val="ConsPlusNormal"/>
        <w:spacing w:before="240"/>
        <w:ind w:firstLine="540"/>
        <w:jc w:val="both"/>
      </w:pPr>
      <w:r>
        <w:t>35. Персональные аварийные радиобуи (радиомаяки) системы КОСПАС-САРСАТ в полосах радиочастот 121,45 - 121,55 МГц и 406 - 406,1 МГц, разрешенные в установленном порядке для использования на территории Российской Федерации.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35 введен Постановлением Правительства РФ от 26.12.2015 N 1447)</w:t>
      </w:r>
    </w:p>
    <w:p w:rsidR="00101C83" w:rsidRDefault="00A45751">
      <w:pPr>
        <w:pStyle w:val="ConsPlusNormal"/>
        <w:spacing w:before="240"/>
        <w:ind w:firstLine="540"/>
        <w:jc w:val="both"/>
      </w:pPr>
      <w:bookmarkStart w:id="43" w:name="Par357"/>
      <w:bookmarkEnd w:id="43"/>
      <w:r>
        <w:t>36.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</w:t>
      </w:r>
    </w:p>
    <w:p w:rsidR="00101C83" w:rsidRDefault="00A457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36 введен Постановлением Правительства РФ от 10.07.2017 N 816)</w:t>
      </w:r>
    </w:p>
    <w:p w:rsidR="00101C83" w:rsidRDefault="00101C83">
      <w:pPr>
        <w:pStyle w:val="ConsPlusNormal"/>
        <w:ind w:firstLine="540"/>
        <w:jc w:val="both"/>
      </w:pPr>
    </w:p>
    <w:p w:rsidR="00101C83" w:rsidRDefault="00A45751">
      <w:pPr>
        <w:pStyle w:val="ConsPlusNormal"/>
        <w:jc w:val="right"/>
        <w:outlineLvl w:val="2"/>
      </w:pPr>
      <w:r>
        <w:t>Таблица</w:t>
      </w:r>
    </w:p>
    <w:p w:rsidR="00101C83" w:rsidRDefault="00101C83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2835"/>
      </w:tblGrid>
      <w:tr w:rsidR="00101C8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Полоса радиочастот (МГц)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Максимальная спектральная плотность эквивалентной изотропно излучаемой мощности (</w:t>
            </w:r>
            <w:proofErr w:type="spellStart"/>
            <w:r>
              <w:t>дБм</w:t>
            </w:r>
            <w:proofErr w:type="spellEnd"/>
            <w:r>
              <w:t>/МГц)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Дополнительные условия использования</w:t>
            </w:r>
          </w:p>
        </w:tc>
      </w:tr>
      <w:tr w:rsidR="00101C83">
        <w:tc>
          <w:tcPr>
            <w:tcW w:w="2835" w:type="dxa"/>
            <w:tcBorders>
              <w:top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C83" w:rsidRDefault="00A45751">
            <w:pPr>
              <w:pStyle w:val="ConsPlusNormal"/>
            </w:pPr>
            <w:r>
              <w:t>использование в закрытых помещениях (за исключением воздушных судов и терминалов аэропортов)</w:t>
            </w: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3375 - 3950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-61,5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3950 - 4425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-54,5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4425 - 5470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5470 - 6000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6000 - 8100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8100 - 8625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8625 - 9150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2850 - 3375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3375 - 4800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-76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4800 - 5475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5475 - 6000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-62,5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6000 - 7250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7250 - 7750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-73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t>7750 - 8625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</w:tcPr>
          <w:p w:rsidR="00101C83" w:rsidRDefault="00A45751">
            <w:pPr>
              <w:pStyle w:val="ConsPlusNormal"/>
              <w:jc w:val="center"/>
            </w:pPr>
            <w:r>
              <w:lastRenderedPageBreak/>
              <w:t>8625 - 9150</w:t>
            </w:r>
          </w:p>
        </w:tc>
        <w:tc>
          <w:tcPr>
            <w:tcW w:w="3402" w:type="dxa"/>
          </w:tcPr>
          <w:p w:rsidR="00101C83" w:rsidRDefault="00A45751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  <w:tr w:rsidR="00101C83">
        <w:tc>
          <w:tcPr>
            <w:tcW w:w="2835" w:type="dxa"/>
            <w:tcBorders>
              <w:bottom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9150 - 10600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1C83" w:rsidRDefault="00A45751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C83" w:rsidRDefault="00101C83">
            <w:pPr>
              <w:pStyle w:val="ConsPlusNormal"/>
              <w:jc w:val="center"/>
            </w:pPr>
          </w:p>
        </w:tc>
      </w:tr>
    </w:tbl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ind w:firstLine="540"/>
        <w:jc w:val="both"/>
      </w:pPr>
    </w:p>
    <w:p w:rsidR="00101C83" w:rsidRDefault="00101C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1C83" w:rsidSect="00101C8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DF" w:rsidRDefault="00F202DF" w:rsidP="00FD0FCD">
      <w:pPr>
        <w:spacing w:after="0" w:line="240" w:lineRule="auto"/>
      </w:pPr>
      <w:r>
        <w:separator/>
      </w:r>
    </w:p>
  </w:endnote>
  <w:endnote w:type="continuationSeparator" w:id="0">
    <w:p w:rsidR="00F202DF" w:rsidRDefault="00F202DF" w:rsidP="00FD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83" w:rsidRDefault="00101C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01C8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1C83" w:rsidRDefault="00101C8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1C83" w:rsidRDefault="00101C8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1C83" w:rsidRDefault="00A4575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101C8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01C83">
            <w:rPr>
              <w:sz w:val="20"/>
              <w:szCs w:val="20"/>
            </w:rPr>
            <w:fldChar w:fldCharType="separate"/>
          </w:r>
          <w:r w:rsidR="002A7028">
            <w:rPr>
              <w:noProof/>
              <w:sz w:val="20"/>
              <w:szCs w:val="20"/>
            </w:rPr>
            <w:t>18</w:t>
          </w:r>
          <w:r w:rsidR="00101C8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101C83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01C83">
            <w:rPr>
              <w:sz w:val="20"/>
              <w:szCs w:val="20"/>
            </w:rPr>
            <w:fldChar w:fldCharType="separate"/>
          </w:r>
          <w:r w:rsidR="002A7028">
            <w:rPr>
              <w:noProof/>
              <w:sz w:val="20"/>
              <w:szCs w:val="20"/>
            </w:rPr>
            <w:t>19</w:t>
          </w:r>
          <w:r w:rsidR="00101C83">
            <w:rPr>
              <w:sz w:val="20"/>
              <w:szCs w:val="20"/>
            </w:rPr>
            <w:fldChar w:fldCharType="end"/>
          </w:r>
        </w:p>
      </w:tc>
    </w:tr>
  </w:tbl>
  <w:p w:rsidR="00101C83" w:rsidRDefault="00101C8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DF" w:rsidRDefault="00F202DF" w:rsidP="00FD0FCD">
      <w:pPr>
        <w:spacing w:after="0" w:line="240" w:lineRule="auto"/>
      </w:pPr>
      <w:r>
        <w:separator/>
      </w:r>
    </w:p>
  </w:footnote>
  <w:footnote w:type="continuationSeparator" w:id="0">
    <w:p w:rsidR="00F202DF" w:rsidRDefault="00F202DF" w:rsidP="00FD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83" w:rsidRPr="002A7028" w:rsidRDefault="00A45751" w:rsidP="002A7028">
    <w:pPr>
      <w:pStyle w:val="a5"/>
    </w:pPr>
    <w:r w:rsidRPr="002A7028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2E67"/>
    <w:rsid w:val="000E2E67"/>
    <w:rsid w:val="00101C83"/>
    <w:rsid w:val="002A7028"/>
    <w:rsid w:val="00A45751"/>
    <w:rsid w:val="00F2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01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028"/>
  </w:style>
  <w:style w:type="paragraph" w:styleId="a7">
    <w:name w:val="footer"/>
    <w:basedOn w:val="a"/>
    <w:link w:val="a8"/>
    <w:uiPriority w:val="99"/>
    <w:semiHidden/>
    <w:unhideWhenUsed/>
    <w:rsid w:val="002A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9725</Words>
  <Characters>55438</Characters>
  <Application>Microsoft Office Word</Application>
  <DocSecurity>2</DocSecurity>
  <Lines>461</Lines>
  <Paragraphs>130</Paragraphs>
  <ScaleCrop>false</ScaleCrop>
  <Company>КонсультантПлюс Версия 4017.00.91</Company>
  <LinksUpToDate>false</LinksUpToDate>
  <CharactersWithSpaces>65033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12.10.2004 N 539(ред. от 14.12.2017)"О порядке регистрации радиоэлектронных средств и высокочастотных устройств"(с изм. и доп., вступ. в силу с 01.09.2018)</dc:title>
  <dc:creator>Роскомнадзор</dc:creator>
  <cp:lastModifiedBy>Яковлев-ЕИС</cp:lastModifiedBy>
  <cp:revision>3</cp:revision>
  <dcterms:created xsi:type="dcterms:W3CDTF">2018-08-31T06:54:00Z</dcterms:created>
  <dcterms:modified xsi:type="dcterms:W3CDTF">2018-08-31T11:13:00Z</dcterms:modified>
</cp:coreProperties>
</file>